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B9" w:rsidRDefault="00E47BB9" w:rsidP="00E47BB9">
      <w:pPr>
        <w:jc w:val="center"/>
        <w:rPr>
          <w:rFonts w:ascii="Times New Roman" w:hAnsi="Times New Roman"/>
          <w:b/>
          <w:bCs/>
          <w:sz w:val="22"/>
          <w:szCs w:val="22"/>
          <w:u w:val="single"/>
          <w:lang w:val="vi-VN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vi-VN"/>
        </w:rPr>
        <w:t>LÝ THUYẾT</w:t>
      </w:r>
    </w:p>
    <w:p w:rsidR="00E47BB9" w:rsidRDefault="00E47BB9" w:rsidP="00E47BB9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BÀI 31: VÙNG ĐÔNG NAM BÔ</w:t>
      </w:r>
    </w:p>
    <w:p w:rsidR="00E47BB9" w:rsidRDefault="00E47BB9" w:rsidP="00E47BB9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I) Vị trí địa lí, giới hạn lãnh thổ:</w:t>
      </w:r>
    </w:p>
    <w:p w:rsidR="00E47BB9" w:rsidRDefault="00E47BB9" w:rsidP="00E47BB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Vị trí giới hạn: 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Vị trí</w:t>
      </w:r>
      <w:bookmarkStart w:id="0" w:name="_GoBack"/>
      <w:bookmarkEnd w:id="0"/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 xml:space="preserve">+ </w:t>
      </w:r>
      <w:r>
        <w:rPr>
          <w:rFonts w:ascii="Times New Roman" w:hAnsi="Times New Roman"/>
          <w:sz w:val="22"/>
          <w:szCs w:val="22"/>
          <w:lang w:val="vi-VN"/>
        </w:rPr>
        <w:t>Cầu nối giữa các vùng, các nước trong khu vực, giữa đất liền và biển Đông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Giới hạn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 Đông Bắc giáp với Tây Nguyên và Duyên hải nam trung bộ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 Đông và Đông Nam giáp biển Đông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 Tây Nam giáp ĐBSCL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 Bắc và Tây Bắc giáp Cam-pu- chia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Ý nghĩa: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vi-VN"/>
        </w:rPr>
        <w:t>Thuận lợi giao lưu kinh tế, văn hóa với các vùng trong nước vàvới các nước trong khu vực.</w:t>
      </w:r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- Là cầu nối giữa Tây Nguyên và Đồng bằng SCL</w:t>
      </w:r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- Là cầu nối giữa đất liền và vùng biển</w:t>
      </w:r>
    </w:p>
    <w:p w:rsidR="00E47BB9" w:rsidRDefault="00E47BB9" w:rsidP="00E47BB9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II) Điều kiện tự nhiên và tài nguyên thiên nhiên.</w:t>
      </w:r>
    </w:p>
    <w:p w:rsidR="00E47BB9" w:rsidRDefault="00E47BB9" w:rsidP="00E47BB9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a. Thuận lợi: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Vùng có nhiều điều kiện tự nhiên và tài nguyên thuận lợi để phát triển kinh tế cả trên đất liền và trên biển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Có sự khác nhau về điều kiện tự nhiên và thế mạnh kinh tế giữa phần biển và phẩn đất liền: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( hoc bảng 31.1 trang 113/ SGK để thấy sự khác nhau giữa phần biển và phần đất liền)</w:t>
      </w:r>
    </w:p>
    <w:p w:rsidR="00E47BB9" w:rsidRDefault="00E47BB9" w:rsidP="00E47B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Khó khăn: </w:t>
      </w:r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- Ít khoáng sản trên đất liền, rừng tự nhiên còn ít</w:t>
      </w:r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- Nguy cơ ô nhiễm môi trường do chất thải sinh hoạt và công nghiệp</w:t>
      </w:r>
    </w:p>
    <w:p w:rsidR="00E47BB9" w:rsidRDefault="00E47BB9" w:rsidP="00E47BB9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* biện pháp: bảo vệ rừng.</w:t>
      </w:r>
    </w:p>
    <w:p w:rsidR="008A2B44" w:rsidRDefault="008A2B44"/>
    <w:sectPr w:rsidR="008A2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2547"/>
    <w:multiLevelType w:val="singleLevel"/>
    <w:tmpl w:val="58C52547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B9"/>
    <w:rsid w:val="008A2B44"/>
    <w:rsid w:val="00E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9"/>
    <w:pPr>
      <w:spacing w:after="0" w:line="240" w:lineRule="auto"/>
    </w:pPr>
    <w:rPr>
      <w:rFonts w:ascii=".VnTime" w:eastAsia="SimSu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9"/>
    <w:pPr>
      <w:spacing w:after="0" w:line="240" w:lineRule="auto"/>
    </w:pPr>
    <w:rPr>
      <w:rFonts w:ascii=".VnTime" w:eastAsia="SimSu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2020-02-10T12:08:00Z</dcterms:created>
  <dcterms:modified xsi:type="dcterms:W3CDTF">2020-02-10T12:10:00Z</dcterms:modified>
</cp:coreProperties>
</file>